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8E" w:rsidRDefault="00A20AE1" w:rsidP="00343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 </w:t>
      </w:r>
      <w:r w:rsidR="00343C74">
        <w:rPr>
          <w:b/>
          <w:sz w:val="28"/>
          <w:szCs w:val="28"/>
        </w:rPr>
        <w:t>Worksheet -</w:t>
      </w:r>
      <w:r w:rsidR="007A3E8E" w:rsidRPr="007A3E8E">
        <w:rPr>
          <w:b/>
          <w:sz w:val="28"/>
          <w:szCs w:val="28"/>
        </w:rPr>
        <w:t>Transform your research practice:</w:t>
      </w:r>
    </w:p>
    <w:p w:rsidR="007A3E8E" w:rsidRDefault="007A3E8E" w:rsidP="007A3E8E">
      <w:pPr>
        <w:jc w:val="center"/>
        <w:rPr>
          <w:b/>
          <w:sz w:val="28"/>
          <w:szCs w:val="28"/>
        </w:rPr>
      </w:pPr>
      <w:r w:rsidRPr="007A3E8E">
        <w:rPr>
          <w:b/>
          <w:sz w:val="28"/>
          <w:szCs w:val="28"/>
        </w:rPr>
        <w:t>Centering patient and community partners on your research teams using EDI principles</w:t>
      </w:r>
      <w:r>
        <w:rPr>
          <w:b/>
          <w:sz w:val="28"/>
          <w:szCs w:val="28"/>
        </w:rPr>
        <w:t xml:space="preserve"> </w:t>
      </w:r>
    </w:p>
    <w:p w:rsidR="007F20E0" w:rsidRDefault="007F20E0" w:rsidP="00DF5E40">
      <w:pPr>
        <w:rPr>
          <w:color w:val="FF0000"/>
          <w:sz w:val="28"/>
          <w:szCs w:val="28"/>
        </w:rPr>
      </w:pPr>
    </w:p>
    <w:p w:rsidR="00E1392A" w:rsidRPr="00E1392A" w:rsidRDefault="00E1392A" w:rsidP="00DF5E40">
      <w:pPr>
        <w:rPr>
          <w:b/>
        </w:rPr>
      </w:pPr>
      <w:r w:rsidRPr="00E1392A">
        <w:rPr>
          <w:b/>
        </w:rPr>
        <w:t>Instructions</w:t>
      </w:r>
    </w:p>
    <w:p w:rsidR="00E1392A" w:rsidRPr="00A96956" w:rsidRDefault="00E1392A" w:rsidP="00E1392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 xml:space="preserve">In order to be prepared for a thoughtful discussion, please read </w:t>
      </w:r>
      <w:hyperlink r:id="rId5" w:history="1">
        <w:r w:rsidRPr="007A3E8E">
          <w:rPr>
            <w:rStyle w:val="Hyperlink"/>
            <w:rFonts w:ascii="Calibri" w:eastAsia="Times New Roman" w:hAnsi="Calibri" w:cs="Calibri"/>
          </w:rPr>
          <w:t>The C</w:t>
        </w:r>
        <w:r w:rsidRPr="007A3E8E">
          <w:rPr>
            <w:rStyle w:val="Hyperlink"/>
            <w:rFonts w:ascii="Calibri" w:eastAsia="Times New Roman" w:hAnsi="Calibri" w:cs="Calibri"/>
          </w:rPr>
          <w:t>o</w:t>
        </w:r>
        <w:r w:rsidRPr="007A3E8E">
          <w:rPr>
            <w:rStyle w:val="Hyperlink"/>
            <w:rFonts w:ascii="Calibri" w:eastAsia="Times New Roman" w:hAnsi="Calibri" w:cs="Calibri"/>
          </w:rPr>
          <w:t xml:space="preserve">in Model of Privilege And Critical </w:t>
        </w:r>
        <w:proofErr w:type="spellStart"/>
        <w:r w:rsidRPr="007A3E8E">
          <w:rPr>
            <w:rStyle w:val="Hyperlink"/>
            <w:rFonts w:ascii="Calibri" w:eastAsia="Times New Roman" w:hAnsi="Calibri" w:cs="Calibri"/>
          </w:rPr>
          <w:t>Allyship</w:t>
        </w:r>
        <w:proofErr w:type="spellEnd"/>
        <w:r w:rsidRPr="007A3E8E">
          <w:rPr>
            <w:rStyle w:val="Hyperlink"/>
            <w:rFonts w:ascii="Calibri" w:eastAsia="Times New Roman" w:hAnsi="Calibri" w:cs="Calibri"/>
          </w:rPr>
          <w:t>: Implications for Health</w:t>
        </w:r>
      </w:hyperlink>
      <w:r>
        <w:rPr>
          <w:rStyle w:val="Hyperlink"/>
          <w:rFonts w:ascii="Calibri" w:eastAsia="Times New Roman" w:hAnsi="Calibri" w:cs="Calibri"/>
        </w:rPr>
        <w:t xml:space="preserve"> </w:t>
      </w:r>
      <w:r w:rsidR="00A96956">
        <w:rPr>
          <w:rFonts w:ascii="Calibri" w:eastAsia="Times New Roman" w:hAnsi="Calibri" w:cs="Calibri"/>
          <w:color w:val="000000"/>
        </w:rPr>
        <w:t>article and answer Q</w:t>
      </w:r>
      <w:r>
        <w:rPr>
          <w:rFonts w:ascii="Calibri" w:eastAsia="Times New Roman" w:hAnsi="Calibri" w:cs="Calibri"/>
          <w:color w:val="000000"/>
        </w:rPr>
        <w:t>uestion #1</w:t>
      </w:r>
      <w:r w:rsidR="00A96956">
        <w:rPr>
          <w:rFonts w:ascii="Calibri" w:eastAsia="Times New Roman" w:hAnsi="Calibri" w:cs="Calibri"/>
          <w:color w:val="000000"/>
        </w:rPr>
        <w:t xml:space="preserve"> </w:t>
      </w:r>
      <w:r w:rsidR="00A96956">
        <w:t>prior to the event on Nov 24</w:t>
      </w:r>
      <w:r w:rsidR="00451560">
        <w:t>, 2023</w:t>
      </w:r>
    </w:p>
    <w:p w:rsidR="00A96956" w:rsidRPr="00A96956" w:rsidRDefault="00A96956" w:rsidP="00E1392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>Questions #2 – 5 are for</w:t>
      </w:r>
      <w:r w:rsidR="0083147B">
        <w:rPr>
          <w:rFonts w:ascii="Calibri" w:eastAsia="Times New Roman" w:hAnsi="Calibri" w:cs="Calibri"/>
          <w:color w:val="000000"/>
        </w:rPr>
        <w:t xml:space="preserve"> individual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9670D">
        <w:rPr>
          <w:rFonts w:ascii="Calibri" w:eastAsia="Times New Roman" w:hAnsi="Calibri" w:cs="Calibri"/>
          <w:color w:val="000000"/>
        </w:rPr>
        <w:t>participants</w:t>
      </w:r>
      <w:r>
        <w:rPr>
          <w:rFonts w:ascii="Calibri" w:eastAsia="Times New Roman" w:hAnsi="Calibri" w:cs="Calibri"/>
          <w:color w:val="000000"/>
        </w:rPr>
        <w:t xml:space="preserve"> to answer during the event in breakout rooms</w:t>
      </w:r>
    </w:p>
    <w:p w:rsidR="008D59FF" w:rsidRPr="008D59FF" w:rsidRDefault="008038E0" w:rsidP="008038E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 xml:space="preserve">After the event, </w:t>
      </w:r>
      <w:r w:rsidR="009B331F">
        <w:rPr>
          <w:rFonts w:ascii="Calibri" w:eastAsia="Times New Roman" w:hAnsi="Calibri" w:cs="Calibri"/>
          <w:color w:val="000000"/>
        </w:rPr>
        <w:t>we recommend</w:t>
      </w:r>
      <w:r w:rsidR="00DD44E6">
        <w:rPr>
          <w:rFonts w:ascii="Calibri" w:eastAsia="Times New Roman" w:hAnsi="Calibri" w:cs="Calibri"/>
          <w:color w:val="000000"/>
        </w:rPr>
        <w:t xml:space="preserve"> research gro</w:t>
      </w:r>
      <w:r w:rsidR="00452775">
        <w:rPr>
          <w:rFonts w:ascii="Calibri" w:eastAsia="Times New Roman" w:hAnsi="Calibri" w:cs="Calibri"/>
          <w:color w:val="000000"/>
        </w:rPr>
        <w:t>up</w:t>
      </w:r>
      <w:r w:rsidR="009B331F">
        <w:rPr>
          <w:rFonts w:ascii="Calibri" w:eastAsia="Times New Roman" w:hAnsi="Calibri" w:cs="Calibri"/>
          <w:color w:val="000000"/>
        </w:rPr>
        <w:t>s come together</w:t>
      </w:r>
      <w:r w:rsidR="00452775">
        <w:rPr>
          <w:rFonts w:ascii="Calibri" w:eastAsia="Times New Roman" w:hAnsi="Calibri" w:cs="Calibri"/>
          <w:color w:val="000000"/>
        </w:rPr>
        <w:t xml:space="preserve"> to di</w:t>
      </w:r>
      <w:r w:rsidR="009B331F">
        <w:rPr>
          <w:rFonts w:ascii="Calibri" w:eastAsia="Times New Roman" w:hAnsi="Calibri" w:cs="Calibri"/>
          <w:color w:val="000000"/>
        </w:rPr>
        <w:t>scuss</w:t>
      </w:r>
      <w:r w:rsidR="00343C74">
        <w:rPr>
          <w:rFonts w:ascii="Calibri" w:eastAsia="Times New Roman" w:hAnsi="Calibri" w:cs="Calibri"/>
          <w:color w:val="000000"/>
        </w:rPr>
        <w:t xml:space="preserve"> both</w:t>
      </w:r>
    </w:p>
    <w:p w:rsidR="00343C74" w:rsidRPr="00343C74" w:rsidRDefault="009B331F" w:rsidP="008D59F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>their</w:t>
      </w:r>
      <w:r w:rsidR="00452775">
        <w:rPr>
          <w:rFonts w:ascii="Calibri" w:eastAsia="Times New Roman" w:hAnsi="Calibri" w:cs="Calibri"/>
          <w:color w:val="000000"/>
        </w:rPr>
        <w:t xml:space="preserve"> individual </w:t>
      </w:r>
      <w:r w:rsidR="00DD44E6">
        <w:rPr>
          <w:rFonts w:ascii="Calibri" w:eastAsia="Times New Roman" w:hAnsi="Calibri" w:cs="Calibri"/>
          <w:color w:val="000000"/>
        </w:rPr>
        <w:t xml:space="preserve">answers and </w:t>
      </w:r>
    </w:p>
    <w:p w:rsidR="00A96956" w:rsidRPr="00E1392A" w:rsidRDefault="001332A0" w:rsidP="008D59F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>also collaboratively</w:t>
      </w:r>
      <w:r w:rsidR="00343C74">
        <w:rPr>
          <w:rFonts w:ascii="Calibri" w:eastAsia="Times New Roman" w:hAnsi="Calibri" w:cs="Calibri"/>
          <w:color w:val="000000"/>
        </w:rPr>
        <w:t xml:space="preserve"> </w:t>
      </w:r>
      <w:r w:rsidR="00452775">
        <w:rPr>
          <w:rFonts w:ascii="Calibri" w:eastAsia="Times New Roman" w:hAnsi="Calibri" w:cs="Calibri"/>
          <w:color w:val="000000"/>
        </w:rPr>
        <w:t>create a plan for</w:t>
      </w:r>
      <w:r w:rsidR="00A9695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which</w:t>
      </w:r>
      <w:r w:rsidR="008038E0">
        <w:rPr>
          <w:rFonts w:ascii="Calibri" w:eastAsia="Times New Roman" w:hAnsi="Calibri" w:cs="Calibri"/>
          <w:color w:val="000000"/>
        </w:rPr>
        <w:t xml:space="preserve"> </w:t>
      </w:r>
      <w:r w:rsidR="00452775">
        <w:rPr>
          <w:rFonts w:ascii="Calibri" w:eastAsia="Times New Roman" w:hAnsi="Calibri" w:cs="Calibri"/>
          <w:color w:val="000000"/>
        </w:rPr>
        <w:t>EDI principle</w:t>
      </w:r>
      <w:r w:rsidR="0052744B">
        <w:rPr>
          <w:rFonts w:ascii="Calibri" w:eastAsia="Times New Roman" w:hAnsi="Calibri" w:cs="Calibri"/>
          <w:color w:val="000000"/>
        </w:rPr>
        <w:t>(</w:t>
      </w:r>
      <w:r w:rsidR="00452775">
        <w:rPr>
          <w:rFonts w:ascii="Calibri" w:eastAsia="Times New Roman" w:hAnsi="Calibri" w:cs="Calibri"/>
          <w:color w:val="000000"/>
        </w:rPr>
        <w:t>s</w:t>
      </w:r>
      <w:r w:rsidR="0052744B">
        <w:rPr>
          <w:rFonts w:ascii="Calibri" w:eastAsia="Times New Roman" w:hAnsi="Calibri" w:cs="Calibri"/>
          <w:color w:val="000000"/>
        </w:rPr>
        <w:t>)</w:t>
      </w:r>
      <w:r w:rsidR="00452775">
        <w:rPr>
          <w:rFonts w:ascii="Calibri" w:eastAsia="Times New Roman" w:hAnsi="Calibri" w:cs="Calibri"/>
          <w:color w:val="000000"/>
        </w:rPr>
        <w:t xml:space="preserve"> </w:t>
      </w:r>
      <w:r w:rsidR="0052744B">
        <w:rPr>
          <w:rFonts w:ascii="Calibri" w:eastAsia="Times New Roman" w:hAnsi="Calibri" w:cs="Calibri"/>
          <w:color w:val="000000"/>
        </w:rPr>
        <w:t>their</w:t>
      </w:r>
      <w:r w:rsidR="00452775">
        <w:rPr>
          <w:rFonts w:ascii="Calibri" w:eastAsia="Times New Roman" w:hAnsi="Calibri" w:cs="Calibri"/>
          <w:color w:val="000000"/>
        </w:rPr>
        <w:t xml:space="preserve"> research team can implement</w:t>
      </w:r>
      <w:r w:rsidR="008038E0">
        <w:rPr>
          <w:rFonts w:ascii="Calibri" w:eastAsia="Times New Roman" w:hAnsi="Calibri" w:cs="Calibri"/>
          <w:color w:val="000000"/>
        </w:rPr>
        <w:t xml:space="preserve"> to center </w:t>
      </w:r>
      <w:r w:rsidR="0052744B">
        <w:rPr>
          <w:rFonts w:ascii="Calibri" w:eastAsia="Times New Roman" w:hAnsi="Calibri" w:cs="Calibri"/>
          <w:color w:val="000000"/>
        </w:rPr>
        <w:t>their</w:t>
      </w:r>
      <w:r w:rsidR="00343C74">
        <w:rPr>
          <w:rFonts w:ascii="Calibri" w:eastAsia="Times New Roman" w:hAnsi="Calibri" w:cs="Calibri"/>
          <w:color w:val="000000"/>
        </w:rPr>
        <w:t xml:space="preserve"> </w:t>
      </w:r>
      <w:r w:rsidR="008038E0" w:rsidRPr="008038E0">
        <w:rPr>
          <w:rFonts w:ascii="Calibri" w:eastAsia="Times New Roman" w:hAnsi="Calibri" w:cs="Calibri"/>
          <w:color w:val="000000"/>
        </w:rPr>
        <w:t>patient</w:t>
      </w:r>
      <w:r w:rsidR="0083147B">
        <w:rPr>
          <w:rFonts w:ascii="Calibri" w:eastAsia="Times New Roman" w:hAnsi="Calibri" w:cs="Calibri"/>
          <w:color w:val="000000"/>
        </w:rPr>
        <w:t xml:space="preserve"> and community partners</w:t>
      </w:r>
    </w:p>
    <w:p w:rsidR="00E1392A" w:rsidRPr="00E1392A" w:rsidRDefault="00E1392A" w:rsidP="008038E0">
      <w:pPr>
        <w:pStyle w:val="ListParagraph"/>
        <w:rPr>
          <w:sz w:val="28"/>
          <w:szCs w:val="28"/>
        </w:rPr>
      </w:pPr>
    </w:p>
    <w:tbl>
      <w:tblPr>
        <w:tblStyle w:val="TableGrid"/>
        <w:tblW w:w="10170" w:type="dxa"/>
        <w:tblInd w:w="355" w:type="dxa"/>
        <w:tblLook w:val="04A0" w:firstRow="1" w:lastRow="0" w:firstColumn="1" w:lastColumn="0" w:noHBand="0" w:noVBand="1"/>
      </w:tblPr>
      <w:tblGrid>
        <w:gridCol w:w="2970"/>
        <w:gridCol w:w="7200"/>
      </w:tblGrid>
      <w:tr w:rsidR="00516F99" w:rsidTr="00DF5E40">
        <w:trPr>
          <w:trHeight w:val="44"/>
        </w:trPr>
        <w:tc>
          <w:tcPr>
            <w:tcW w:w="2970" w:type="dxa"/>
            <w:shd w:val="clear" w:color="auto" w:fill="1F4E79" w:themeFill="accent1" w:themeFillShade="80"/>
          </w:tcPr>
          <w:p w:rsidR="00516F99" w:rsidRPr="0002104C" w:rsidRDefault="00516F99">
            <w:pPr>
              <w:rPr>
                <w:b/>
                <w:color w:val="FFFFFF" w:themeColor="background1"/>
              </w:rPr>
            </w:pPr>
            <w:r w:rsidRPr="0002104C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:rsidR="00516F99" w:rsidRPr="0002104C" w:rsidRDefault="00516F99">
            <w:pPr>
              <w:rPr>
                <w:b/>
                <w:color w:val="FFFFFF" w:themeColor="background1"/>
              </w:rPr>
            </w:pPr>
            <w:r w:rsidRPr="0002104C">
              <w:rPr>
                <w:b/>
                <w:color w:val="FFFFFF" w:themeColor="background1"/>
              </w:rPr>
              <w:t>RESPONSE</w:t>
            </w:r>
          </w:p>
        </w:tc>
      </w:tr>
      <w:tr w:rsidR="007A3E8E" w:rsidTr="00DF5E40">
        <w:trPr>
          <w:trHeight w:val="44"/>
        </w:trPr>
        <w:tc>
          <w:tcPr>
            <w:tcW w:w="2970" w:type="dxa"/>
            <w:shd w:val="clear" w:color="auto" w:fill="FFFFFF" w:themeFill="background1"/>
          </w:tcPr>
          <w:p w:rsidR="007A3E8E" w:rsidRDefault="007A3E8E" w:rsidP="007A3E8E">
            <w:pPr>
              <w:textAlignment w:val="baseline"/>
              <w:rPr>
                <w:rStyle w:val="Hyperlink"/>
                <w:rFonts w:ascii="Calibri" w:eastAsia="Times New Roman" w:hAnsi="Calibri" w:cs="Calibri"/>
              </w:rPr>
            </w:pPr>
            <w:r w:rsidRPr="007A3E8E">
              <w:rPr>
                <w:rFonts w:ascii="Calibri" w:eastAsia="Times New Roman" w:hAnsi="Calibri" w:cs="Calibri"/>
                <w:color w:val="000000"/>
              </w:rPr>
              <w:t xml:space="preserve">Review </w:t>
            </w:r>
            <w:hyperlink r:id="rId6" w:history="1">
              <w:r w:rsidRPr="007A3E8E">
                <w:rPr>
                  <w:rStyle w:val="Hyperlink"/>
                  <w:rFonts w:ascii="Calibri" w:eastAsia="Times New Roman" w:hAnsi="Calibri" w:cs="Calibri"/>
                </w:rPr>
                <w:t xml:space="preserve">The Coin Model of Privilege And Critical </w:t>
              </w:r>
              <w:proofErr w:type="spellStart"/>
              <w:r w:rsidRPr="007A3E8E">
                <w:rPr>
                  <w:rStyle w:val="Hyperlink"/>
                  <w:rFonts w:ascii="Calibri" w:eastAsia="Times New Roman" w:hAnsi="Calibri" w:cs="Calibri"/>
                </w:rPr>
                <w:t>Allyship</w:t>
              </w:r>
              <w:proofErr w:type="spellEnd"/>
              <w:r w:rsidRPr="007A3E8E">
                <w:rPr>
                  <w:rStyle w:val="Hyperlink"/>
                  <w:rFonts w:ascii="Calibri" w:eastAsia="Times New Roman" w:hAnsi="Calibri" w:cs="Calibri"/>
                </w:rPr>
                <w:t>: Implications fo</w:t>
              </w:r>
              <w:r w:rsidRPr="007A3E8E">
                <w:rPr>
                  <w:rStyle w:val="Hyperlink"/>
                  <w:rFonts w:ascii="Calibri" w:eastAsia="Times New Roman" w:hAnsi="Calibri" w:cs="Calibri"/>
                </w:rPr>
                <w:t>r</w:t>
              </w:r>
              <w:r w:rsidRPr="007A3E8E">
                <w:rPr>
                  <w:rStyle w:val="Hyperlink"/>
                  <w:rFonts w:ascii="Calibri" w:eastAsia="Times New Roman" w:hAnsi="Calibri" w:cs="Calibri"/>
                </w:rPr>
                <w:t xml:space="preserve"> Health</w:t>
              </w:r>
            </w:hyperlink>
          </w:p>
          <w:p w:rsidR="007A3E8E" w:rsidRPr="007A3E8E" w:rsidRDefault="007A3E8E" w:rsidP="007A3E8E">
            <w:pPr>
              <w:textAlignment w:val="baseline"/>
              <w:rPr>
                <w:rStyle w:val="Hyperlink"/>
                <w:rFonts w:ascii="Calibri" w:eastAsia="Times New Roman" w:hAnsi="Calibri" w:cs="Calibri"/>
                <w:color w:val="000000"/>
                <w:u w:val="none"/>
              </w:rPr>
            </w:pPr>
          </w:p>
          <w:p w:rsidR="007A3E8E" w:rsidRDefault="007A3E8E" w:rsidP="007A3E8E">
            <w:pPr>
              <w:pStyle w:val="ListParagraph"/>
              <w:numPr>
                <w:ilvl w:val="1"/>
                <w:numId w:val="6"/>
              </w:num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From the article, what two messages stood out the most to you?</w:t>
            </w:r>
          </w:p>
          <w:p w:rsidR="007A3E8E" w:rsidRPr="007A3E8E" w:rsidRDefault="007A3E8E" w:rsidP="007A3E8E"/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3E8E" w:rsidRPr="007A3E8E" w:rsidRDefault="007A3E8E"/>
        </w:tc>
      </w:tr>
      <w:tr w:rsidR="0002104C" w:rsidTr="00A96956">
        <w:trPr>
          <w:trHeight w:val="1610"/>
        </w:trPr>
        <w:tc>
          <w:tcPr>
            <w:tcW w:w="2970" w:type="dxa"/>
          </w:tcPr>
          <w:p w:rsidR="00B66881" w:rsidRDefault="0002104C" w:rsidP="007A3E8E">
            <w:pPr>
              <w:pStyle w:val="ListParagraph"/>
              <w:numPr>
                <w:ilvl w:val="0"/>
                <w:numId w:val="6"/>
              </w:numPr>
            </w:pPr>
            <w:r>
              <w:t xml:space="preserve">What areas of EDI do you and your research team </w:t>
            </w:r>
            <w:r w:rsidR="00EE0E9A">
              <w:t xml:space="preserve">want to further develop </w:t>
            </w:r>
            <w:r>
              <w:t>when engaging patient and community partners (PCPs) on your research teams?</w:t>
            </w:r>
          </w:p>
          <w:p w:rsidR="00B66881" w:rsidRDefault="00B66881" w:rsidP="00B66881">
            <w:pPr>
              <w:pStyle w:val="ListParagraph"/>
              <w:ind w:left="360"/>
            </w:pPr>
          </w:p>
          <w:p w:rsidR="0002104C" w:rsidRDefault="00B66881" w:rsidP="00B66881">
            <w:pPr>
              <w:pStyle w:val="ListParagraph"/>
              <w:ind w:left="360"/>
            </w:pPr>
            <w:r>
              <w:t>Check all that apply.</w:t>
            </w:r>
          </w:p>
          <w:p w:rsidR="008038E0" w:rsidRDefault="008038E0" w:rsidP="00B66881">
            <w:pPr>
              <w:pStyle w:val="ListParagraph"/>
              <w:ind w:left="360"/>
            </w:pPr>
          </w:p>
          <w:p w:rsidR="0002104C" w:rsidRDefault="008038E0" w:rsidP="001E16F7">
            <w:pPr>
              <w:pStyle w:val="ListParagraph"/>
              <w:ind w:left="360"/>
            </w:pPr>
            <w:r>
              <w:t xml:space="preserve">For background reading on this topic, please see </w:t>
            </w:r>
            <w:r w:rsidR="00A25CF0">
              <w:t xml:space="preserve">this reading </w:t>
            </w:r>
            <w:r w:rsidR="001E16F7">
              <w:t>from the</w:t>
            </w:r>
            <w:r w:rsidR="00A25CF0">
              <w:t xml:space="preserve"> PCERC Resource Guide </w:t>
            </w:r>
            <w:hyperlink r:id="rId7" w:history="1">
              <w:r w:rsidRPr="008038E0">
                <w:rPr>
                  <w:rStyle w:val="Hyperlink"/>
                  <w:rFonts w:cstheme="minorBidi"/>
                </w:rPr>
                <w:t>Patient sta</w:t>
              </w:r>
              <w:r w:rsidRPr="008038E0">
                <w:rPr>
                  <w:rStyle w:val="Hyperlink"/>
                  <w:rFonts w:cstheme="minorBidi"/>
                </w:rPr>
                <w:t>k</w:t>
              </w:r>
              <w:r w:rsidRPr="008038E0">
                <w:rPr>
                  <w:rStyle w:val="Hyperlink"/>
                  <w:rFonts w:cstheme="minorBidi"/>
                </w:rPr>
                <w:t>eholder engagement in research: A narrative review to describe foundational principles and best practice activities</w:t>
              </w:r>
            </w:hyperlink>
          </w:p>
        </w:tc>
        <w:tc>
          <w:tcPr>
            <w:tcW w:w="7200" w:type="dxa"/>
          </w:tcPr>
          <w:p w:rsidR="009769B5" w:rsidRDefault="009769B5" w:rsidP="009769B5">
            <w:pPr>
              <w:rPr>
                <w:b/>
              </w:rPr>
            </w:pPr>
            <w:r>
              <w:rPr>
                <w:b/>
              </w:rPr>
              <w:t>Building Relationships</w:t>
            </w:r>
          </w:p>
          <w:p w:rsidR="009769B5" w:rsidRDefault="00451560" w:rsidP="009769B5">
            <w:pPr>
              <w:rPr>
                <w:shd w:val="clear" w:color="auto" w:fill="FFFFFF" w:themeFill="background1"/>
              </w:rPr>
            </w:pPr>
            <w:sdt>
              <w:sdtPr>
                <w:rPr>
                  <w:shd w:val="clear" w:color="auto" w:fill="DEEAF6" w:themeFill="accent1" w:themeFillTint="33"/>
                </w:rPr>
                <w:id w:val="201664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 w:rsidRPr="00030CE0">
              <w:rPr>
                <w:shd w:val="clear" w:color="auto" w:fill="FFFFFF" w:themeFill="background1"/>
              </w:rPr>
              <w:t xml:space="preserve"> </w:t>
            </w:r>
            <w:r w:rsidR="009769B5" w:rsidRPr="007F20E0">
              <w:rPr>
                <w:shd w:val="clear" w:color="auto" w:fill="FFFFFF" w:themeFill="background1"/>
              </w:rPr>
              <w:t xml:space="preserve">Allow time to build relationships </w:t>
            </w:r>
            <w:r w:rsidR="005172E3">
              <w:rPr>
                <w:shd w:val="clear" w:color="auto" w:fill="FFFFFF" w:themeFill="background1"/>
              </w:rPr>
              <w:t xml:space="preserve">(e.g., </w:t>
            </w:r>
            <w:r w:rsidR="009769B5" w:rsidRPr="007F20E0">
              <w:rPr>
                <w:shd w:val="clear" w:color="auto" w:fill="FFFFFF" w:themeFill="background1"/>
              </w:rPr>
              <w:t>informal socializing/networking</w:t>
            </w:r>
            <w:r w:rsidR="005172E3">
              <w:rPr>
                <w:shd w:val="clear" w:color="auto" w:fill="FFFFFF" w:themeFill="background1"/>
              </w:rPr>
              <w:t>)</w:t>
            </w:r>
          </w:p>
          <w:p w:rsidR="009769B5" w:rsidRDefault="00451560" w:rsidP="009769B5">
            <w:sdt>
              <w:sdtPr>
                <w:rPr>
                  <w:shd w:val="clear" w:color="auto" w:fill="DEEAF6" w:themeFill="accent1" w:themeFillTint="33"/>
                </w:rPr>
                <w:id w:val="86934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>
              <w:t xml:space="preserve"> Establishing trust and meaningful relationships</w:t>
            </w:r>
          </w:p>
          <w:p w:rsidR="009769B5" w:rsidRPr="007A3E8E" w:rsidRDefault="009769B5" w:rsidP="009769B5">
            <w:pPr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Centering PCPs</w:t>
            </w:r>
          </w:p>
          <w:p w:rsidR="009769B5" w:rsidRDefault="00451560" w:rsidP="009769B5">
            <w:pPr>
              <w:shd w:val="clear" w:color="auto" w:fill="FFFFFF" w:themeFill="background1"/>
              <w:rPr>
                <w:shd w:val="clear" w:color="auto" w:fill="DEEAF6" w:themeFill="accent1" w:themeFillTint="33"/>
              </w:rPr>
            </w:pPr>
            <w:sdt>
              <w:sdtPr>
                <w:rPr>
                  <w:shd w:val="clear" w:color="auto" w:fill="DEEAF6" w:themeFill="accent1" w:themeFillTint="33"/>
                </w:rPr>
                <w:id w:val="26111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 w:rsidRPr="00030CE0">
              <w:rPr>
                <w:shd w:val="clear" w:color="auto" w:fill="FFFFFF" w:themeFill="background1"/>
              </w:rPr>
              <w:t xml:space="preserve"> Centre PCPs needs over funder/institutional desires</w:t>
            </w:r>
          </w:p>
          <w:p w:rsidR="009769B5" w:rsidRDefault="00451560" w:rsidP="009769B5">
            <w:pPr>
              <w:rPr>
                <w:shd w:val="clear" w:color="auto" w:fill="FFFFFF" w:themeFill="background1"/>
              </w:rPr>
            </w:pPr>
            <w:sdt>
              <w:sdtPr>
                <w:rPr>
                  <w:shd w:val="clear" w:color="auto" w:fill="DEEAF6" w:themeFill="accent1" w:themeFillTint="33"/>
                </w:rPr>
                <w:id w:val="7683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 w:rsidRPr="00030CE0">
              <w:rPr>
                <w:shd w:val="clear" w:color="auto" w:fill="FFFFFF" w:themeFill="background1"/>
              </w:rPr>
              <w:t xml:space="preserve"> Don’t do anything alone (</w:t>
            </w:r>
            <w:r w:rsidR="005172E3">
              <w:rPr>
                <w:shd w:val="clear" w:color="auto" w:fill="FFFFFF" w:themeFill="background1"/>
              </w:rPr>
              <w:t xml:space="preserve">i.e., </w:t>
            </w:r>
            <w:r w:rsidR="009769B5" w:rsidRPr="00030CE0">
              <w:rPr>
                <w:shd w:val="clear" w:color="auto" w:fill="FFFFFF" w:themeFill="background1"/>
              </w:rPr>
              <w:t xml:space="preserve">ensure PCPs are part of every </w:t>
            </w:r>
            <w:r w:rsidR="009769B5">
              <w:rPr>
                <w:shd w:val="clear" w:color="auto" w:fill="FFFFFF" w:themeFill="background1"/>
              </w:rPr>
              <w:t xml:space="preserve">important </w:t>
            </w:r>
            <w:r w:rsidR="009769B5" w:rsidRPr="00030CE0">
              <w:rPr>
                <w:shd w:val="clear" w:color="auto" w:fill="FFFFFF" w:themeFill="background1"/>
              </w:rPr>
              <w:t>decision)</w:t>
            </w:r>
          </w:p>
          <w:p w:rsidR="009769B5" w:rsidRDefault="009769B5" w:rsidP="009769B5">
            <w:pPr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Evaluating Researcher’s PCE skills</w:t>
            </w:r>
          </w:p>
          <w:p w:rsidR="009769B5" w:rsidRDefault="00451560" w:rsidP="009769B5">
            <w:sdt>
              <w:sdtPr>
                <w:rPr>
                  <w:shd w:val="clear" w:color="auto" w:fill="DEEAF6" w:themeFill="accent1" w:themeFillTint="33"/>
                </w:rPr>
                <w:id w:val="7002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>
              <w:t xml:space="preserve"> Ongoing evaluation of researcher’s PCE skills </w:t>
            </w:r>
          </w:p>
          <w:p w:rsidR="009769B5" w:rsidRDefault="009769B5" w:rsidP="009769B5">
            <w:pPr>
              <w:pStyle w:val="ListParagraph"/>
              <w:numPr>
                <w:ilvl w:val="0"/>
                <w:numId w:val="2"/>
              </w:numPr>
            </w:pPr>
            <w:r>
              <w:t>PCPs as key assessors</w:t>
            </w:r>
          </w:p>
          <w:p w:rsidR="009769B5" w:rsidRDefault="009769B5" w:rsidP="009769B5">
            <w:pPr>
              <w:pStyle w:val="ListParagraph"/>
              <w:numPr>
                <w:ilvl w:val="0"/>
                <w:numId w:val="2"/>
              </w:numPr>
            </w:pPr>
            <w:r>
              <w:t>Self-reflection</w:t>
            </w:r>
          </w:p>
          <w:p w:rsidR="009769B5" w:rsidRDefault="009769B5" w:rsidP="009769B5">
            <w:pPr>
              <w:rPr>
                <w:b/>
              </w:rPr>
            </w:pPr>
            <w:r>
              <w:rPr>
                <w:b/>
              </w:rPr>
              <w:t>Language &amp; Communication</w:t>
            </w:r>
            <w:bookmarkStart w:id="0" w:name="_GoBack"/>
            <w:bookmarkEnd w:id="0"/>
          </w:p>
          <w:p w:rsidR="009769B5" w:rsidRDefault="00451560" w:rsidP="009769B5">
            <w:sdt>
              <w:sdtPr>
                <w:rPr>
                  <w:shd w:val="clear" w:color="auto" w:fill="DEEAF6" w:themeFill="accent1" w:themeFillTint="33"/>
                </w:rPr>
                <w:id w:val="-6582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>
              <w:t xml:space="preserve"> Plain language communication</w:t>
            </w:r>
          </w:p>
          <w:p w:rsidR="009769B5" w:rsidRPr="0080508A" w:rsidRDefault="00451560" w:rsidP="009769B5">
            <w:pPr>
              <w:rPr>
                <w:color w:val="FF0000"/>
              </w:rPr>
            </w:pPr>
            <w:sdt>
              <w:sdtPr>
                <w:rPr>
                  <w:shd w:val="clear" w:color="auto" w:fill="DEEAF6" w:themeFill="accent1" w:themeFillTint="33"/>
                </w:rPr>
                <w:id w:val="-136527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>
              <w:rPr>
                <w:color w:val="FF0000"/>
              </w:rPr>
              <w:t xml:space="preserve"> </w:t>
            </w:r>
            <w:r w:rsidR="009769B5" w:rsidRPr="007A3E8E">
              <w:t>Relevant and appropriate language</w:t>
            </w:r>
          </w:p>
          <w:p w:rsidR="009769B5" w:rsidRDefault="00451560" w:rsidP="009769B5">
            <w:pPr>
              <w:rPr>
                <w:shd w:val="clear" w:color="auto" w:fill="FFFFFF" w:themeFill="background1"/>
              </w:rPr>
            </w:pPr>
            <w:sdt>
              <w:sdtPr>
                <w:rPr>
                  <w:shd w:val="clear" w:color="auto" w:fill="DEEAF6" w:themeFill="accent1" w:themeFillTint="33"/>
                </w:rPr>
                <w:id w:val="2167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 w:rsidRPr="00030CE0">
              <w:rPr>
                <w:shd w:val="clear" w:color="auto" w:fill="FFFFFF" w:themeFill="background1"/>
              </w:rPr>
              <w:t xml:space="preserve"> </w:t>
            </w:r>
            <w:r w:rsidR="009769B5" w:rsidRPr="007F20E0">
              <w:rPr>
                <w:shd w:val="clear" w:color="auto" w:fill="FFFFFF" w:themeFill="background1"/>
              </w:rPr>
              <w:t>Regular dialogue/bidirectional communication</w:t>
            </w:r>
          </w:p>
          <w:p w:rsidR="009769B5" w:rsidRPr="009769B5" w:rsidRDefault="00451560">
            <w:sdt>
              <w:sdtPr>
                <w:rPr>
                  <w:shd w:val="clear" w:color="auto" w:fill="DEEAF6" w:themeFill="accent1" w:themeFillTint="33"/>
                </w:rPr>
                <w:id w:val="937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>
              <w:t xml:space="preserve"> Listen first, speak last</w:t>
            </w:r>
          </w:p>
          <w:p w:rsidR="007A3E8E" w:rsidRPr="007A3E8E" w:rsidRDefault="007A3E8E">
            <w:r>
              <w:rPr>
                <w:b/>
              </w:rPr>
              <w:t>Power</w:t>
            </w:r>
          </w:p>
          <w:p w:rsidR="0080508A" w:rsidRDefault="00451560">
            <w:sdt>
              <w:sdtPr>
                <w:rPr>
                  <w:shd w:val="clear" w:color="auto" w:fill="DEEAF6" w:themeFill="accent1" w:themeFillTint="33"/>
                </w:rPr>
                <w:id w:val="-151893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E8E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7A3E8E">
              <w:t xml:space="preserve"> </w:t>
            </w:r>
            <w:r w:rsidR="007F20E0">
              <w:t>Equitable power between PCPs and researchers</w:t>
            </w:r>
          </w:p>
          <w:p w:rsidR="0002104C" w:rsidRDefault="0080508A" w:rsidP="0080508A">
            <w:pPr>
              <w:pStyle w:val="ListParagraph"/>
              <w:numPr>
                <w:ilvl w:val="0"/>
                <w:numId w:val="5"/>
              </w:numPr>
            </w:pPr>
            <w:r>
              <w:t xml:space="preserve">Ensure at least 2 </w:t>
            </w:r>
            <w:r w:rsidR="00451560">
              <w:t>PCPs are in</w:t>
            </w:r>
            <w:r>
              <w:t xml:space="preserve"> each group</w:t>
            </w:r>
          </w:p>
          <w:p w:rsidR="0080508A" w:rsidRDefault="0080508A" w:rsidP="0080508A">
            <w:pPr>
              <w:pStyle w:val="ListParagraph"/>
              <w:numPr>
                <w:ilvl w:val="0"/>
                <w:numId w:val="5"/>
              </w:numPr>
            </w:pPr>
            <w:r>
              <w:t>Ideally have an equal ratio of PCPs/researchers</w:t>
            </w:r>
          </w:p>
          <w:p w:rsidR="00DF5E40" w:rsidRPr="00DF5E40" w:rsidRDefault="00451560" w:rsidP="007A3E8E">
            <w:sdt>
              <w:sdtPr>
                <w:rPr>
                  <w:shd w:val="clear" w:color="auto" w:fill="DEEAF6" w:themeFill="accent1" w:themeFillTint="33"/>
                </w:rPr>
                <w:id w:val="13480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E40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DF5E40">
              <w:t xml:space="preserve"> Supporting PCPs to lead</w:t>
            </w:r>
          </w:p>
          <w:p w:rsidR="009769B5" w:rsidRPr="007A3E8E" w:rsidRDefault="009769B5" w:rsidP="009769B5">
            <w:pPr>
              <w:rPr>
                <w:b/>
              </w:rPr>
            </w:pPr>
            <w:r>
              <w:rPr>
                <w:b/>
              </w:rPr>
              <w:t>Recruitment and Team Composition</w:t>
            </w:r>
          </w:p>
          <w:p w:rsidR="009769B5" w:rsidRDefault="00451560" w:rsidP="009769B5">
            <w:sdt>
              <w:sdtPr>
                <w:rPr>
                  <w:shd w:val="clear" w:color="auto" w:fill="DEEAF6" w:themeFill="accent1" w:themeFillTint="33"/>
                </w:rPr>
                <w:id w:val="-178542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>
              <w:t xml:space="preserve"> Ensuring diverse team compositions (including those in a leadership role)</w:t>
            </w:r>
          </w:p>
          <w:p w:rsidR="009769B5" w:rsidRDefault="009769B5" w:rsidP="009769B5">
            <w:pPr>
              <w:pStyle w:val="ListParagraph"/>
              <w:numPr>
                <w:ilvl w:val="0"/>
                <w:numId w:val="4"/>
              </w:numPr>
            </w:pPr>
            <w:r>
              <w:t>What does diversity mean for the community/study?</w:t>
            </w:r>
          </w:p>
          <w:p w:rsidR="009769B5" w:rsidRDefault="009769B5" w:rsidP="009769B5">
            <w:pPr>
              <w:pStyle w:val="ListParagraph"/>
              <w:numPr>
                <w:ilvl w:val="0"/>
                <w:numId w:val="4"/>
              </w:numPr>
            </w:pPr>
            <w:r>
              <w:t>Consider intersectionality</w:t>
            </w:r>
          </w:p>
          <w:p w:rsidR="009769B5" w:rsidRPr="009769B5" w:rsidRDefault="00451560" w:rsidP="007A3E8E">
            <w:sdt>
              <w:sdtPr>
                <w:rPr>
                  <w:shd w:val="clear" w:color="auto" w:fill="DEEAF6" w:themeFill="accent1" w:themeFillTint="33"/>
                </w:rPr>
                <w:id w:val="71222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B5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9769B5">
              <w:t xml:space="preserve"> Equitable recruitment processes</w:t>
            </w:r>
          </w:p>
          <w:p w:rsidR="007A3E8E" w:rsidRPr="007A3E8E" w:rsidRDefault="007A3E8E" w:rsidP="007A3E8E">
            <w:pPr>
              <w:rPr>
                <w:b/>
              </w:rPr>
            </w:pPr>
            <w:r>
              <w:rPr>
                <w:b/>
              </w:rPr>
              <w:t>Training</w:t>
            </w:r>
          </w:p>
          <w:p w:rsidR="0002104C" w:rsidRDefault="00451560" w:rsidP="00457263">
            <w:sdt>
              <w:sdtPr>
                <w:rPr>
                  <w:shd w:val="clear" w:color="auto" w:fill="DEEAF6" w:themeFill="accent1" w:themeFillTint="33"/>
                </w:rPr>
                <w:id w:val="-20774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4C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02104C">
              <w:t xml:space="preserve"> Training for researchers. Examples include:</w:t>
            </w:r>
          </w:p>
          <w:p w:rsidR="0002104C" w:rsidRDefault="0002104C" w:rsidP="00364068">
            <w:pPr>
              <w:pStyle w:val="ListParagraph"/>
              <w:numPr>
                <w:ilvl w:val="0"/>
                <w:numId w:val="1"/>
              </w:numPr>
            </w:pPr>
            <w:r>
              <w:t>Anti-racism training</w:t>
            </w:r>
          </w:p>
          <w:p w:rsidR="0002104C" w:rsidRDefault="0002104C" w:rsidP="00364068">
            <w:pPr>
              <w:pStyle w:val="ListParagraph"/>
              <w:numPr>
                <w:ilvl w:val="0"/>
                <w:numId w:val="1"/>
              </w:numPr>
            </w:pPr>
            <w:r>
              <w:t>Indigenous cultural safety training</w:t>
            </w:r>
          </w:p>
          <w:p w:rsidR="0002104C" w:rsidRDefault="0002104C" w:rsidP="0036406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Unconscious bias training</w:t>
            </w:r>
          </w:p>
          <w:p w:rsidR="0002104C" w:rsidRDefault="00451560" w:rsidP="00457263">
            <w:sdt>
              <w:sdtPr>
                <w:rPr>
                  <w:shd w:val="clear" w:color="auto" w:fill="DEEAF6" w:themeFill="accent1" w:themeFillTint="33"/>
                </w:rPr>
                <w:id w:val="144765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4C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02104C">
              <w:t xml:space="preserve"> Training and mentoring opportunities for PCPs</w:t>
            </w:r>
          </w:p>
          <w:p w:rsidR="00DF5E40" w:rsidRPr="00BC4F4C" w:rsidRDefault="00BC4F4C" w:rsidP="007A3E8E">
            <w:pPr>
              <w:rPr>
                <w:b/>
              </w:rPr>
            </w:pPr>
            <w:r w:rsidRPr="00BC4F4C">
              <w:rPr>
                <w:b/>
              </w:rPr>
              <w:t>Other Important Considerations</w:t>
            </w:r>
          </w:p>
          <w:p w:rsidR="007A3E8E" w:rsidRDefault="00451560" w:rsidP="007A3E8E">
            <w:sdt>
              <w:sdtPr>
                <w:rPr>
                  <w:shd w:val="clear" w:color="auto" w:fill="DEEAF6" w:themeFill="accent1" w:themeFillTint="33"/>
                </w:rPr>
                <w:id w:val="-13914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E8E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7A3E8E">
              <w:t xml:space="preserve"> Cultural humility</w:t>
            </w:r>
          </w:p>
          <w:p w:rsidR="007A3E8E" w:rsidRDefault="00451560" w:rsidP="0002104C">
            <w:sdt>
              <w:sdtPr>
                <w:rPr>
                  <w:shd w:val="clear" w:color="auto" w:fill="DEEAF6" w:themeFill="accent1" w:themeFillTint="33"/>
                </w:rPr>
                <w:id w:val="-86035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E8E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7A3E8E">
              <w:t xml:space="preserve"> Avoiding performativity and tokenism</w:t>
            </w:r>
          </w:p>
          <w:p w:rsidR="0002104C" w:rsidRDefault="00451560" w:rsidP="0002104C">
            <w:sdt>
              <w:sdtPr>
                <w:rPr>
                  <w:shd w:val="clear" w:color="auto" w:fill="DEEAF6" w:themeFill="accent1" w:themeFillTint="33"/>
                </w:rPr>
                <w:id w:val="-10371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4C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02104C">
              <w:t xml:space="preserve"> Ongoing and bi-direction</w:t>
            </w:r>
            <w:r w:rsidR="007F20E0">
              <w:t>al learning</w:t>
            </w:r>
          </w:p>
          <w:p w:rsidR="0002104C" w:rsidRDefault="00451560" w:rsidP="0002104C">
            <w:sdt>
              <w:sdtPr>
                <w:rPr>
                  <w:shd w:val="clear" w:color="auto" w:fill="DEEAF6" w:themeFill="accent1" w:themeFillTint="33"/>
                </w:rPr>
                <w:id w:val="-130353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4C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02104C">
              <w:t xml:space="preserve"> </w:t>
            </w:r>
            <w:r w:rsidR="0002104C" w:rsidRPr="002C3447">
              <w:t>Equitable compensation and recognition</w:t>
            </w:r>
          </w:p>
          <w:p w:rsidR="0002104C" w:rsidRDefault="00451560" w:rsidP="0002104C">
            <w:sdt>
              <w:sdtPr>
                <w:rPr>
                  <w:shd w:val="clear" w:color="auto" w:fill="DEEAF6" w:themeFill="accent1" w:themeFillTint="33"/>
                </w:rPr>
                <w:id w:val="-104960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4C" w:rsidRPr="0002104C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02104C">
              <w:t xml:space="preserve"> Reducing/minimizing harm to communities/patients</w:t>
            </w:r>
          </w:p>
          <w:p w:rsidR="00030CE0" w:rsidRDefault="00451560" w:rsidP="00DF5E40">
            <w:sdt>
              <w:sdtPr>
                <w:rPr>
                  <w:shd w:val="clear" w:color="auto" w:fill="DEEAF6" w:themeFill="accent1" w:themeFillTint="33"/>
                </w:rPr>
                <w:id w:val="98544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956">
                  <w:rPr>
                    <w:rFonts w:ascii="MS Gothic" w:eastAsia="MS Gothic" w:hAnsi="MS Gothic" w:hint="eastAsia"/>
                    <w:shd w:val="clear" w:color="auto" w:fill="DEEAF6" w:themeFill="accent1" w:themeFillTint="33"/>
                  </w:rPr>
                  <w:t>☐</w:t>
                </w:r>
              </w:sdtContent>
            </w:sdt>
            <w:r w:rsidR="0002104C">
              <w:t xml:space="preserve"> Reducing barriers to engagement</w:t>
            </w:r>
          </w:p>
        </w:tc>
      </w:tr>
      <w:tr w:rsidR="00516F99" w:rsidTr="002C3447">
        <w:trPr>
          <w:trHeight w:val="2780"/>
        </w:trPr>
        <w:tc>
          <w:tcPr>
            <w:tcW w:w="2970" w:type="dxa"/>
          </w:tcPr>
          <w:p w:rsidR="00516F99" w:rsidRDefault="00516F99" w:rsidP="007A3E8E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Of the EDI areas that</w:t>
            </w:r>
            <w:r w:rsidR="00CE22DC">
              <w:t xml:space="preserve"> you’ve checked, what are 1 - 3</w:t>
            </w:r>
            <w:r>
              <w:t xml:space="preserve"> high priority areas that you would like to focus on?</w:t>
            </w:r>
          </w:p>
          <w:p w:rsidR="0002104C" w:rsidRDefault="0002104C"/>
          <w:p w:rsidR="0002104C" w:rsidRDefault="0002104C"/>
          <w:p w:rsidR="0002104C" w:rsidRDefault="0002104C"/>
          <w:p w:rsidR="0002104C" w:rsidRDefault="0002104C"/>
        </w:tc>
        <w:tc>
          <w:tcPr>
            <w:tcW w:w="7200" w:type="dxa"/>
            <w:shd w:val="clear" w:color="auto" w:fill="DEEAF6" w:themeFill="accent1" w:themeFillTint="33"/>
          </w:tcPr>
          <w:p w:rsidR="00516F99" w:rsidRDefault="00516F99"/>
        </w:tc>
      </w:tr>
      <w:tr w:rsidR="00516F99" w:rsidTr="002C3447">
        <w:trPr>
          <w:trHeight w:val="2870"/>
        </w:trPr>
        <w:tc>
          <w:tcPr>
            <w:tcW w:w="2970" w:type="dxa"/>
          </w:tcPr>
          <w:p w:rsidR="00516F99" w:rsidRDefault="00516F99" w:rsidP="007A3E8E">
            <w:pPr>
              <w:pStyle w:val="ListParagraph"/>
              <w:numPr>
                <w:ilvl w:val="0"/>
                <w:numId w:val="6"/>
              </w:numPr>
            </w:pPr>
            <w:r>
              <w:t>What is 1 EDI commitment that you and your team will implement in its PCE p</w:t>
            </w:r>
            <w:r w:rsidR="0002104C">
              <w:t>rac</w:t>
            </w:r>
            <w:r>
              <w:t>tices?</w:t>
            </w:r>
          </w:p>
          <w:p w:rsidR="0002104C" w:rsidRDefault="0002104C" w:rsidP="0002104C"/>
          <w:p w:rsidR="0002104C" w:rsidRDefault="0002104C" w:rsidP="0002104C"/>
          <w:p w:rsidR="0002104C" w:rsidRDefault="0002104C" w:rsidP="0002104C"/>
          <w:p w:rsidR="0002104C" w:rsidRDefault="0002104C" w:rsidP="0002104C"/>
          <w:p w:rsidR="0002104C" w:rsidRDefault="0002104C" w:rsidP="0002104C"/>
          <w:p w:rsidR="0002104C" w:rsidRDefault="0002104C" w:rsidP="0002104C"/>
        </w:tc>
        <w:tc>
          <w:tcPr>
            <w:tcW w:w="7200" w:type="dxa"/>
            <w:shd w:val="clear" w:color="auto" w:fill="DEEAF6" w:themeFill="accent1" w:themeFillTint="33"/>
          </w:tcPr>
          <w:p w:rsidR="00516F99" w:rsidRDefault="00516F99"/>
          <w:p w:rsidR="003C13F5" w:rsidRDefault="003C13F5"/>
          <w:p w:rsidR="003C13F5" w:rsidRDefault="003C13F5"/>
          <w:p w:rsidR="003C13F5" w:rsidRDefault="003C13F5"/>
          <w:p w:rsidR="003C13F5" w:rsidRDefault="003C13F5"/>
          <w:p w:rsidR="003C13F5" w:rsidRDefault="003C13F5"/>
          <w:p w:rsidR="003C13F5" w:rsidRDefault="003C13F5"/>
          <w:p w:rsidR="003C13F5" w:rsidRDefault="003C13F5"/>
          <w:p w:rsidR="003C13F5" w:rsidRDefault="003C13F5"/>
        </w:tc>
      </w:tr>
      <w:tr w:rsidR="00CE22DC" w:rsidTr="009604CA">
        <w:trPr>
          <w:trHeight w:val="5660"/>
        </w:trPr>
        <w:tc>
          <w:tcPr>
            <w:tcW w:w="2970" w:type="dxa"/>
          </w:tcPr>
          <w:p w:rsidR="00CE22DC" w:rsidRDefault="00CE22DC" w:rsidP="00CE22DC">
            <w:pPr>
              <w:pStyle w:val="ListParagraph"/>
              <w:numPr>
                <w:ilvl w:val="0"/>
                <w:numId w:val="6"/>
              </w:numPr>
            </w:pPr>
            <w:r>
              <w:t>How will you implement this change?</w:t>
            </w:r>
          </w:p>
          <w:p w:rsidR="00CE22DC" w:rsidRDefault="00CE22DC" w:rsidP="00CE22DC">
            <w:pPr>
              <w:pStyle w:val="ListParagraph"/>
              <w:ind w:left="360"/>
            </w:pPr>
          </w:p>
          <w:p w:rsidR="00CE22DC" w:rsidRDefault="00CE22DC" w:rsidP="00CE22DC">
            <w:pPr>
              <w:pStyle w:val="ListParagraph"/>
              <w:ind w:left="360"/>
            </w:pPr>
            <w:r>
              <w:t>What do you imagine will be barriers/challenges to implementing this change?</w:t>
            </w:r>
          </w:p>
          <w:p w:rsidR="00CE22DC" w:rsidRDefault="00CE22DC" w:rsidP="00CE22DC">
            <w:pPr>
              <w:pStyle w:val="ListParagraph"/>
              <w:ind w:left="360"/>
            </w:pPr>
          </w:p>
          <w:p w:rsidR="00CE22DC" w:rsidRDefault="00CE22DC" w:rsidP="00CE22DC">
            <w:pPr>
              <w:pStyle w:val="ListParagraph"/>
              <w:ind w:left="360"/>
            </w:pPr>
            <w:r>
              <w:t>How will you manage these barriers/challenges?</w:t>
            </w:r>
          </w:p>
        </w:tc>
        <w:tc>
          <w:tcPr>
            <w:tcW w:w="7200" w:type="dxa"/>
            <w:shd w:val="clear" w:color="auto" w:fill="DEEAF6" w:themeFill="accent1" w:themeFillTint="33"/>
          </w:tcPr>
          <w:p w:rsidR="00CE22DC" w:rsidRDefault="00CE22DC"/>
        </w:tc>
      </w:tr>
    </w:tbl>
    <w:p w:rsidR="007F651F" w:rsidRDefault="007F651F"/>
    <w:sectPr w:rsidR="007F651F" w:rsidSect="007A3E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589"/>
    <w:multiLevelType w:val="hybridMultilevel"/>
    <w:tmpl w:val="7A7435C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09A0991"/>
    <w:multiLevelType w:val="hybridMultilevel"/>
    <w:tmpl w:val="5A80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4635"/>
    <w:multiLevelType w:val="hybridMultilevel"/>
    <w:tmpl w:val="44FE4F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3AA35C2"/>
    <w:multiLevelType w:val="hybridMultilevel"/>
    <w:tmpl w:val="0F1CF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FBC0730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F5891"/>
    <w:multiLevelType w:val="hybridMultilevel"/>
    <w:tmpl w:val="34E476E6"/>
    <w:lvl w:ilvl="0" w:tplc="43A0A8C0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34389"/>
    <w:multiLevelType w:val="hybridMultilevel"/>
    <w:tmpl w:val="148475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B25FCD"/>
    <w:multiLevelType w:val="hybridMultilevel"/>
    <w:tmpl w:val="9BA6E096"/>
    <w:lvl w:ilvl="0" w:tplc="BEE29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76F29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A7596"/>
    <w:multiLevelType w:val="hybridMultilevel"/>
    <w:tmpl w:val="9A42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1F"/>
    <w:rsid w:val="0002104C"/>
    <w:rsid w:val="00030CE0"/>
    <w:rsid w:val="000A7806"/>
    <w:rsid w:val="001332A0"/>
    <w:rsid w:val="001E16F7"/>
    <w:rsid w:val="00253310"/>
    <w:rsid w:val="002C3447"/>
    <w:rsid w:val="002D4B46"/>
    <w:rsid w:val="00311118"/>
    <w:rsid w:val="00343C74"/>
    <w:rsid w:val="00364068"/>
    <w:rsid w:val="003C13F5"/>
    <w:rsid w:val="00400E2F"/>
    <w:rsid w:val="004138B5"/>
    <w:rsid w:val="00451560"/>
    <w:rsid w:val="00452775"/>
    <w:rsid w:val="00457263"/>
    <w:rsid w:val="00506D78"/>
    <w:rsid w:val="00516F99"/>
    <w:rsid w:val="005172E3"/>
    <w:rsid w:val="0052744B"/>
    <w:rsid w:val="007A3E8E"/>
    <w:rsid w:val="007A7F46"/>
    <w:rsid w:val="007F20E0"/>
    <w:rsid w:val="007F651F"/>
    <w:rsid w:val="008038E0"/>
    <w:rsid w:val="0080508A"/>
    <w:rsid w:val="0083147B"/>
    <w:rsid w:val="008D59FF"/>
    <w:rsid w:val="009604CA"/>
    <w:rsid w:val="009769B5"/>
    <w:rsid w:val="009A0A9B"/>
    <w:rsid w:val="009B331F"/>
    <w:rsid w:val="00A20AE1"/>
    <w:rsid w:val="00A25CF0"/>
    <w:rsid w:val="00A96956"/>
    <w:rsid w:val="00B630FF"/>
    <w:rsid w:val="00B66881"/>
    <w:rsid w:val="00B67FE6"/>
    <w:rsid w:val="00B9670D"/>
    <w:rsid w:val="00BB6D59"/>
    <w:rsid w:val="00BC4F4C"/>
    <w:rsid w:val="00CE22DC"/>
    <w:rsid w:val="00CF7ECF"/>
    <w:rsid w:val="00D20A25"/>
    <w:rsid w:val="00D64C21"/>
    <w:rsid w:val="00DD44E6"/>
    <w:rsid w:val="00DF5E40"/>
    <w:rsid w:val="00E1392A"/>
    <w:rsid w:val="00ED2D5E"/>
    <w:rsid w:val="00EE0E9A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A393"/>
  <w15:chartTrackingRefBased/>
  <w15:docId w15:val="{C29B3E05-9F72-479F-ABAE-F4A25E50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4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E8E"/>
    <w:rPr>
      <w:rFonts w:cs="Times New Roman"/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3E8E"/>
  </w:style>
  <w:style w:type="character" w:styleId="FollowedHyperlink">
    <w:name w:val="FollowedHyperlink"/>
    <w:basedOn w:val="DefaultParagraphFont"/>
    <w:uiPriority w:val="99"/>
    <w:semiHidden/>
    <w:unhideWhenUsed/>
    <w:rsid w:val="00803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65431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mcpublichealth.biomedcentral.com/articles/10.1186/s12889-019-7884-9" TargetMode="External"/><Relationship Id="rId5" Type="http://schemas.openxmlformats.org/officeDocument/2006/relationships/hyperlink" Target="https://bmcpublichealth.biomedcentral.com/articles/10.1186/s12889-019-7884-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Hospital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Fox</dc:creator>
  <cp:keywords/>
  <dc:description/>
  <cp:lastModifiedBy>Anne-marie Fox</cp:lastModifiedBy>
  <cp:revision>3</cp:revision>
  <dcterms:created xsi:type="dcterms:W3CDTF">2023-10-27T19:45:00Z</dcterms:created>
  <dcterms:modified xsi:type="dcterms:W3CDTF">2023-10-31T14:21:00Z</dcterms:modified>
</cp:coreProperties>
</file>